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79749F" w:rsidP="00BD1779">
      <w:pPr>
        <w:tabs>
          <w:tab w:val="left" w:pos="2835"/>
          <w:tab w:val="left" w:pos="7371"/>
        </w:tabs>
        <w:spacing w:after="0" w:line="240" w:lineRule="auto"/>
      </w:pPr>
      <w:r>
        <w:t>Sekretarz Stanu</w:t>
      </w:r>
    </w:p>
    <w:p w:rsidR="0061215E" w:rsidRDefault="0079749F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9A162F">
        <w:t>1.</w:t>
      </w:r>
      <w:r w:rsidR="0079749F">
        <w:t>39</w:t>
      </w:r>
      <w:r w:rsidR="00060DE7">
        <w:t>.</w:t>
      </w:r>
      <w:r w:rsidR="00900022">
        <w:t>2024</w:t>
      </w:r>
      <w:r w:rsidR="00060DE7">
        <w:t>.</w:t>
      </w:r>
      <w:r w:rsidR="0079749F">
        <w:t>AK</w:t>
      </w:r>
    </w:p>
    <w:p w:rsidR="00AF44C3" w:rsidRDefault="00BD1779" w:rsidP="0061215E">
      <w:pPr>
        <w:pStyle w:val="Dane2"/>
      </w:pPr>
      <w:r>
        <w:t xml:space="preserve">Warszawa, </w:t>
      </w:r>
      <w:r w:rsidR="0079749F">
        <w:t>7 maja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0304FE" w:rsidRDefault="009A162F" w:rsidP="0079749F">
      <w:pPr>
        <w:pStyle w:val="Dane4"/>
        <w:spacing w:before="360"/>
        <w:rPr>
          <w:bCs/>
        </w:rPr>
      </w:pPr>
      <w:r w:rsidRPr="009A162F">
        <w:rPr>
          <w:bCs/>
        </w:rPr>
        <w:t xml:space="preserve">w związku z przekazanym do zaopiniowania </w:t>
      </w:r>
      <w:r w:rsidRPr="009A162F">
        <w:rPr>
          <w:bCs/>
          <w:i/>
        </w:rPr>
        <w:t xml:space="preserve">projektem </w:t>
      </w:r>
      <w:r w:rsidR="0079749F">
        <w:rPr>
          <w:bCs/>
          <w:i/>
        </w:rPr>
        <w:t>uchwały</w:t>
      </w:r>
      <w:r w:rsidRPr="009A162F">
        <w:rPr>
          <w:bCs/>
          <w:i/>
        </w:rPr>
        <w:t xml:space="preserve"> </w:t>
      </w:r>
      <w:r w:rsidR="0079749F">
        <w:rPr>
          <w:bCs/>
          <w:i/>
        </w:rPr>
        <w:t xml:space="preserve">Rady Ministrów </w:t>
      </w:r>
      <w:r w:rsidR="00517DDC">
        <w:rPr>
          <w:bCs/>
          <w:i/>
        </w:rPr>
        <w:br/>
      </w:r>
      <w:r w:rsidR="0079749F" w:rsidRPr="0079749F">
        <w:rPr>
          <w:rStyle w:val="Hipercze"/>
          <w:bCs/>
          <w:i/>
          <w:color w:val="auto"/>
          <w:u w:val="none"/>
        </w:rPr>
        <w:t>w sprawie Krajow</w:t>
      </w:r>
      <w:r w:rsidR="0079749F">
        <w:rPr>
          <w:rStyle w:val="Hipercze"/>
          <w:bCs/>
          <w:i/>
          <w:color w:val="auto"/>
          <w:u w:val="none"/>
        </w:rPr>
        <w:t xml:space="preserve">ego Planu działania do programu </w:t>
      </w:r>
      <w:r w:rsidR="0079749F" w:rsidRPr="0079749F">
        <w:rPr>
          <w:rStyle w:val="Hipercze"/>
          <w:bCs/>
          <w:i/>
          <w:color w:val="auto"/>
          <w:u w:val="none"/>
        </w:rPr>
        <w:t>polityki „Droga ku</w:t>
      </w:r>
      <w:r w:rsidR="0079749F">
        <w:rPr>
          <w:rStyle w:val="Hipercze"/>
          <w:bCs/>
          <w:i/>
          <w:color w:val="auto"/>
          <w:u w:val="none"/>
        </w:rPr>
        <w:t xml:space="preserve"> cyfrowej dekadzie” do 2030 r. </w:t>
      </w:r>
      <w:r w:rsidR="002D2EC3">
        <w:rPr>
          <w:bCs/>
          <w:i/>
        </w:rPr>
        <w:t xml:space="preserve"> </w:t>
      </w:r>
      <w:r w:rsidR="0079749F">
        <w:rPr>
          <w:bCs/>
        </w:rPr>
        <w:t xml:space="preserve">uprzejmie informuję, że Ministerstwo Spraw Wewnętrznych </w:t>
      </w:r>
      <w:r w:rsidR="00517DDC">
        <w:rPr>
          <w:bCs/>
        </w:rPr>
        <w:br/>
      </w:r>
      <w:r w:rsidR="0079749F">
        <w:rPr>
          <w:bCs/>
        </w:rPr>
        <w:t>i Administracji nie wnosi uwag do treści samego dokumentu.</w:t>
      </w:r>
    </w:p>
    <w:p w:rsidR="000304FE" w:rsidRDefault="000304FE" w:rsidP="000304FE">
      <w:pPr>
        <w:pStyle w:val="Dane4"/>
        <w:spacing w:line="320" w:lineRule="atLeast"/>
        <w:rPr>
          <w:bCs/>
        </w:rPr>
      </w:pPr>
    </w:p>
    <w:p w:rsidR="000304FE" w:rsidRDefault="00517DDC" w:rsidP="000304FE">
      <w:pPr>
        <w:pStyle w:val="Dane4"/>
        <w:spacing w:line="320" w:lineRule="atLeast"/>
        <w:rPr>
          <w:bCs/>
        </w:rPr>
      </w:pPr>
      <w:r w:rsidRPr="00517DDC">
        <w:rPr>
          <w:bCs/>
        </w:rPr>
        <w:t>Niemniej jednak, zauważenia wymaga kilka kierun</w:t>
      </w:r>
      <w:r>
        <w:rPr>
          <w:bCs/>
        </w:rPr>
        <w:t xml:space="preserve">kowych kwestii, które wynikają </w:t>
      </w:r>
      <w:r w:rsidRPr="00517DDC">
        <w:rPr>
          <w:bCs/>
        </w:rPr>
        <w:t xml:space="preserve">z dokumentu, w szczególności w zakresie celów cyfrowych, jakie postawiono </w:t>
      </w:r>
      <w:r w:rsidR="00CF5E0A">
        <w:rPr>
          <w:bCs/>
        </w:rPr>
        <w:br/>
      </w:r>
      <w:r w:rsidRPr="00517DDC">
        <w:rPr>
          <w:bCs/>
        </w:rPr>
        <w:t xml:space="preserve">do realizacji administracji publicznej. </w:t>
      </w:r>
    </w:p>
    <w:p w:rsidR="00517DDC" w:rsidRPr="00517DDC" w:rsidRDefault="00517DDC" w:rsidP="000304FE">
      <w:pPr>
        <w:pStyle w:val="Dane4"/>
        <w:spacing w:line="320" w:lineRule="atLeast"/>
        <w:rPr>
          <w:bCs/>
        </w:rPr>
      </w:pPr>
      <w:r w:rsidRPr="00517DDC">
        <w:rPr>
          <w:bCs/>
        </w:rPr>
        <w:t xml:space="preserve">Poniżej </w:t>
      </w:r>
      <w:r>
        <w:rPr>
          <w:bCs/>
        </w:rPr>
        <w:t>przedstawiono</w:t>
      </w:r>
      <w:r w:rsidRPr="00517DDC">
        <w:rPr>
          <w:bCs/>
        </w:rPr>
        <w:t xml:space="preserve"> kilka z nich, które bez odpowiednich narzędzi, zasobów kadrowych i finansowania</w:t>
      </w:r>
      <w:r w:rsidR="00C9294D">
        <w:rPr>
          <w:bCs/>
        </w:rPr>
        <w:t>,</w:t>
      </w:r>
      <w:r w:rsidRPr="00517DDC">
        <w:rPr>
          <w:bCs/>
        </w:rPr>
        <w:t xml:space="preserve"> w ocenie MSWiA</w:t>
      </w:r>
      <w:r w:rsidR="00C9294D">
        <w:rPr>
          <w:bCs/>
        </w:rPr>
        <w:t>,</w:t>
      </w:r>
      <w:r w:rsidRPr="00517DDC">
        <w:rPr>
          <w:bCs/>
        </w:rPr>
        <w:t xml:space="preserve"> mogą w zakładanym ter</w:t>
      </w:r>
      <w:r>
        <w:rPr>
          <w:bCs/>
        </w:rPr>
        <w:t>minie być trudne do osiągnięcia</w:t>
      </w:r>
      <w:r w:rsidR="000304FE">
        <w:rPr>
          <w:bCs/>
        </w:rPr>
        <w:t>, mianowicie</w:t>
      </w:r>
      <w:r>
        <w:rPr>
          <w:bCs/>
        </w:rPr>
        <w:t>:</w:t>
      </w:r>
      <w:r w:rsidRPr="00517DDC">
        <w:rPr>
          <w:bCs/>
        </w:rPr>
        <w:t xml:space="preserve"> </w:t>
      </w:r>
    </w:p>
    <w:p w:rsidR="00517DDC" w:rsidRPr="00517DDC" w:rsidRDefault="00517DDC" w:rsidP="00CF5E0A">
      <w:pPr>
        <w:pStyle w:val="Dane4"/>
        <w:numPr>
          <w:ilvl w:val="0"/>
          <w:numId w:val="6"/>
        </w:numPr>
        <w:spacing w:line="320" w:lineRule="atLeast"/>
        <w:rPr>
          <w:bCs/>
        </w:rPr>
      </w:pPr>
      <w:r w:rsidRPr="00517DDC">
        <w:rPr>
          <w:bCs/>
        </w:rPr>
        <w:t>„wykwalifikowane cyfrowo społeczeństwo i wysoko wykwalifikowani profesjonaliści w dziedzinie cyfrowej, z dbałością o osiągnięcie równowagi płci”;</w:t>
      </w:r>
    </w:p>
    <w:p w:rsidR="00517DDC" w:rsidRPr="00517DDC" w:rsidRDefault="00517DDC" w:rsidP="00CF5E0A">
      <w:pPr>
        <w:pStyle w:val="Dane4"/>
        <w:numPr>
          <w:ilvl w:val="0"/>
          <w:numId w:val="6"/>
        </w:numPr>
        <w:spacing w:line="320" w:lineRule="atLeast"/>
        <w:rPr>
          <w:bCs/>
        </w:rPr>
      </w:pPr>
      <w:r w:rsidRPr="00517DDC">
        <w:rPr>
          <w:bCs/>
        </w:rPr>
        <w:t>„cyfryzacja usług publicznych - 100% kluczowych usług publicznych jest dos</w:t>
      </w:r>
      <w:r w:rsidR="00CF5E0A">
        <w:rPr>
          <w:bCs/>
        </w:rPr>
        <w:t xml:space="preserve">tępnych online dla obywateli i </w:t>
      </w:r>
      <w:r w:rsidRPr="00517DDC">
        <w:rPr>
          <w:bCs/>
        </w:rPr>
        <w:t>przedsiębiorstw w Unii; 100% obywateli Unii ma dostęp do swojej elektronicznej dokumentacji medycznej; 100% obywateli Unii ma dostęp do środków w zakresie identyfikacji elektronicznej (</w:t>
      </w:r>
      <w:proofErr w:type="spellStart"/>
      <w:r w:rsidRPr="00517DDC">
        <w:rPr>
          <w:bCs/>
        </w:rPr>
        <w:t>eID</w:t>
      </w:r>
      <w:proofErr w:type="spellEnd"/>
      <w:r w:rsidRPr="00517DDC">
        <w:rPr>
          <w:bCs/>
        </w:rPr>
        <w:t>) uznawanych w całej Unii i zapewniających im pełną kontrolę nad transakcjami wymagającymi weryfikacji tożsamości i nad udostępnianymi danymi osobowymi</w:t>
      </w:r>
      <w:r>
        <w:rPr>
          <w:bCs/>
        </w:rPr>
        <w:t>”;</w:t>
      </w:r>
    </w:p>
    <w:p w:rsidR="00517DDC" w:rsidRDefault="00517DDC" w:rsidP="00CF5E0A">
      <w:pPr>
        <w:pStyle w:val="Dane4"/>
        <w:numPr>
          <w:ilvl w:val="0"/>
          <w:numId w:val="5"/>
        </w:numPr>
        <w:spacing w:line="320" w:lineRule="atLeast"/>
        <w:rPr>
          <w:bCs/>
        </w:rPr>
      </w:pPr>
      <w:r w:rsidRPr="00517DDC">
        <w:rPr>
          <w:bCs/>
        </w:rPr>
        <w:t xml:space="preserve">„transformacja cyfrowa przedsiębiorstw - co najmniej 75% przedsiębiorstw unijnych korzysta z co najmniej jednego z działań w zakresie usług przetwarzania w chmurze, dużych zbiorów </w:t>
      </w:r>
      <w:r>
        <w:rPr>
          <w:bCs/>
        </w:rPr>
        <w:t xml:space="preserve">danych, sztucznej inteligencji; </w:t>
      </w:r>
      <w:r w:rsidRPr="00517DDC">
        <w:rPr>
          <w:bCs/>
        </w:rPr>
        <w:t>ponad 90% unijnych MŚP osiągnęło co najmniej podstawowy poziom wskaźnika wykorzystania technologii cyfrowych”.</w:t>
      </w:r>
    </w:p>
    <w:p w:rsidR="00C9294D" w:rsidRPr="00517DDC" w:rsidRDefault="00C9294D" w:rsidP="000304FE">
      <w:pPr>
        <w:pStyle w:val="Dane4"/>
        <w:spacing w:line="320" w:lineRule="atLeast"/>
        <w:rPr>
          <w:bCs/>
        </w:rPr>
      </w:pPr>
    </w:p>
    <w:p w:rsidR="00517DDC" w:rsidRPr="00517DDC" w:rsidRDefault="00517DDC" w:rsidP="000304FE">
      <w:pPr>
        <w:pStyle w:val="Dane4"/>
        <w:spacing w:line="320" w:lineRule="atLeast"/>
        <w:rPr>
          <w:bCs/>
        </w:rPr>
      </w:pPr>
      <w:r w:rsidRPr="00517DDC">
        <w:rPr>
          <w:bCs/>
        </w:rPr>
        <w:lastRenderedPageBreak/>
        <w:t>Biorąc pod uwagę powyższe cele oraz analizując je w kontekście możliwości administracji publicznej, a także przedsiębiorców</w:t>
      </w:r>
      <w:r>
        <w:rPr>
          <w:bCs/>
        </w:rPr>
        <w:t>,</w:t>
      </w:r>
      <w:r w:rsidRPr="00517DDC">
        <w:rPr>
          <w:bCs/>
        </w:rPr>
        <w:t xml:space="preserve"> z którymi administracja publiczna współpracuje np. w zakresie tworzenia nowych systemów IT, wydaje się, że z </w:t>
      </w:r>
      <w:r w:rsidR="00C9294D">
        <w:rPr>
          <w:bCs/>
        </w:rPr>
        <w:t xml:space="preserve">przedmiotowego </w:t>
      </w:r>
      <w:r w:rsidRPr="00517DDC">
        <w:rPr>
          <w:bCs/>
        </w:rPr>
        <w:t>dokumentu nie wynikają propozycje rozwiązań, które mogłyby administrację oraz przedsiębiorców przybliżyć do realizacji wy</w:t>
      </w:r>
      <w:r>
        <w:rPr>
          <w:bCs/>
        </w:rPr>
        <w:t xml:space="preserve">znaczonych celów cyfrowych np. </w:t>
      </w:r>
      <w:r w:rsidRPr="00517DDC">
        <w:rPr>
          <w:bCs/>
        </w:rPr>
        <w:t xml:space="preserve">w zakresie: </w:t>
      </w:r>
    </w:p>
    <w:p w:rsidR="00517DDC" w:rsidRPr="00517DDC" w:rsidRDefault="00517DDC" w:rsidP="00CF5E0A">
      <w:pPr>
        <w:pStyle w:val="Dane4"/>
        <w:numPr>
          <w:ilvl w:val="0"/>
          <w:numId w:val="6"/>
        </w:numPr>
        <w:spacing w:line="320" w:lineRule="atLeast"/>
        <w:rPr>
          <w:bCs/>
        </w:rPr>
      </w:pPr>
      <w:r w:rsidRPr="00517DDC">
        <w:rPr>
          <w:bCs/>
        </w:rPr>
        <w:t xml:space="preserve">konieczności szkoleń i edukacji wysoko wykwalifikowanych cyfrowo urzędników. Być może pożądanym kierunkiem byłoby zaangażowanie </w:t>
      </w:r>
      <w:r w:rsidR="00CF5E0A">
        <w:rPr>
          <w:bCs/>
        </w:rPr>
        <w:br/>
      </w:r>
      <w:r w:rsidRPr="00517DDC">
        <w:rPr>
          <w:bCs/>
        </w:rPr>
        <w:t xml:space="preserve">w ten proces np. Szefa Służby Cywilnej, Krajowej Szkoły Administracji Publicznej lub innych szkół, które umożliwiłyby systemowe kształcenie urzędników i pracowników administracji publicznej w zakresie kompetencji cyfrowych; </w:t>
      </w:r>
    </w:p>
    <w:p w:rsidR="00517DDC" w:rsidRPr="00517DDC" w:rsidRDefault="00517DDC" w:rsidP="00CF5E0A">
      <w:pPr>
        <w:pStyle w:val="Dane4"/>
        <w:numPr>
          <w:ilvl w:val="0"/>
          <w:numId w:val="6"/>
        </w:numPr>
        <w:spacing w:line="320" w:lineRule="atLeast"/>
        <w:rPr>
          <w:bCs/>
        </w:rPr>
      </w:pPr>
      <w:r w:rsidRPr="00517DDC">
        <w:rPr>
          <w:bCs/>
        </w:rPr>
        <w:t xml:space="preserve">konieczność szkoleń i edukacji w zakresie lawinowo przybywających aktów prawa w tej materii zarówno krajowego, jak i unijnego, których złożoność </w:t>
      </w:r>
      <w:r>
        <w:rPr>
          <w:bCs/>
        </w:rPr>
        <w:t>i wielowątkowość sprawia co</w:t>
      </w:r>
      <w:r w:rsidRPr="00517DDC">
        <w:rPr>
          <w:bCs/>
        </w:rPr>
        <w:t xml:space="preserve">raz więcej trudności </w:t>
      </w:r>
      <w:r w:rsidR="00CF5E0A">
        <w:rPr>
          <w:bCs/>
        </w:rPr>
        <w:br/>
      </w:r>
      <w:r w:rsidRPr="00517DDC">
        <w:rPr>
          <w:bCs/>
        </w:rPr>
        <w:t xml:space="preserve">w prawidłowym ich implementowaniu, a następnie stosowaniu. Być może pożądanym kierunkiem byłoby zaangażowanie w ten proces np. Szefa Służby Cywilnej, Krajowej Szkoły Administracji Publicznej, Rządowego Centrum Legislacji, aby systemowo </w:t>
      </w:r>
      <w:bookmarkStart w:id="0" w:name="_GoBack"/>
      <w:bookmarkEnd w:id="0"/>
      <w:r w:rsidRPr="00517DDC">
        <w:rPr>
          <w:bCs/>
        </w:rPr>
        <w:t xml:space="preserve">i kierunkowo poszerzyły swoją ofertę w tej materii dla pracowników i urzędników administracji publicznej, wspierając tworzenie w urzędach znanych sektorowi prywatnemu „działów </w:t>
      </w:r>
      <w:proofErr w:type="spellStart"/>
      <w:r w:rsidRPr="00517DDC">
        <w:rPr>
          <w:bCs/>
        </w:rPr>
        <w:t>compliance</w:t>
      </w:r>
      <w:proofErr w:type="spellEnd"/>
      <w:r w:rsidRPr="00517DDC">
        <w:rPr>
          <w:bCs/>
        </w:rPr>
        <w:t xml:space="preserve">”;  </w:t>
      </w:r>
    </w:p>
    <w:p w:rsidR="00517DDC" w:rsidRPr="00517DDC" w:rsidRDefault="00517DDC" w:rsidP="00CF5E0A">
      <w:pPr>
        <w:pStyle w:val="Dane4"/>
        <w:numPr>
          <w:ilvl w:val="0"/>
          <w:numId w:val="6"/>
        </w:numPr>
        <w:spacing w:line="320" w:lineRule="atLeast"/>
        <w:rPr>
          <w:bCs/>
        </w:rPr>
      </w:pPr>
      <w:r w:rsidRPr="00517DDC">
        <w:rPr>
          <w:bCs/>
        </w:rPr>
        <w:t xml:space="preserve">wytycznych dla przedsiębiorców, w zakresie pozyskiwania środków finansowych oraz narzędzi z jakich powinni korzystać, aby dostosować swoje usługi dla potrzeb administracji publicznej, przed którą często stoi szereg wymagań z zakresu prawa krajowego i unijnego. </w:t>
      </w:r>
    </w:p>
    <w:p w:rsidR="009A162F" w:rsidRPr="00517DDC" w:rsidRDefault="00517DDC" w:rsidP="00AF44C3">
      <w:pPr>
        <w:pStyle w:val="Dane4"/>
        <w:spacing w:before="360"/>
        <w:rPr>
          <w:rStyle w:val="dane4Znak0"/>
          <w:bCs/>
        </w:rPr>
      </w:pPr>
      <w:r w:rsidRPr="00517DDC">
        <w:rPr>
          <w:bCs/>
        </w:rPr>
        <w:t xml:space="preserve">Reasumując, </w:t>
      </w:r>
      <w:r w:rsidR="000304FE">
        <w:rPr>
          <w:bCs/>
        </w:rPr>
        <w:t>proszę przyjąć powyższe sugestie celem rozważania</w:t>
      </w:r>
      <w:r w:rsidRPr="00517DDC">
        <w:rPr>
          <w:bCs/>
        </w:rPr>
        <w:t xml:space="preserve"> </w:t>
      </w:r>
      <w:r w:rsidR="000304FE">
        <w:rPr>
          <w:bCs/>
        </w:rPr>
        <w:t>dopracowania</w:t>
      </w:r>
      <w:r w:rsidRPr="00517DDC">
        <w:rPr>
          <w:bCs/>
        </w:rPr>
        <w:t xml:space="preserve"> projektowanych kierunków działań dla administracji publicznej, która aby zrealizować wyznaczone cele do 2030 r. powinna nie tylko być w stanie zatrzymać posiadanych specjalistów w celu urealnienia założeń „dekady cyfrowej”, ale także pozyskać i utrzymać nowych, tworząc atrakcyjne (także finansowo) środowisko dla rozwoju i pracy na rzecz Państwa.</w:t>
      </w:r>
    </w:p>
    <w:p w:rsidR="00C96A2E" w:rsidRPr="00060DE7" w:rsidRDefault="00517DDC" w:rsidP="00AF44C3">
      <w:pPr>
        <w:pStyle w:val="Dane4"/>
        <w:spacing w:before="360"/>
        <w:rPr>
          <w:rStyle w:val="dane4Znak0"/>
          <w:i/>
        </w:rPr>
      </w:pPr>
      <w:r>
        <w:rPr>
          <w:rStyle w:val="dane4Znak0"/>
          <w:i/>
        </w:rPr>
        <w:t>Z</w:t>
      </w:r>
      <w:r w:rsidR="00C96A2E" w:rsidRPr="00060DE7">
        <w:rPr>
          <w:rStyle w:val="dane4Znak0"/>
          <w:i/>
        </w:rPr>
        <w:t xml:space="preserve">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EA0CE7" w:rsidRDefault="00517DDC" w:rsidP="00BD1779">
      <w:pPr>
        <w:tabs>
          <w:tab w:val="left" w:pos="2835"/>
          <w:tab w:val="left" w:pos="7371"/>
        </w:tabs>
        <w:spacing w:after="0" w:line="240" w:lineRule="auto"/>
      </w:pPr>
      <w:r>
        <w:t xml:space="preserve">Tomasz Szymański </w:t>
      </w:r>
      <w:r w:rsidR="00BD1779" w:rsidRPr="00BD1779">
        <w:t xml:space="preserve"> </w:t>
      </w:r>
      <w:r w:rsidR="00E27F09" w:rsidRPr="00BD1779">
        <w:rPr>
          <w:i/>
        </w:rPr>
        <w:br/>
      </w:r>
      <w:r>
        <w:t>Sekretarz Stanu</w:t>
      </w:r>
    </w:p>
    <w:p w:rsidR="00517DDC" w:rsidRPr="00BD1779" w:rsidRDefault="00517DDC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</w:p>
    <w:p w:rsidR="00AB515B" w:rsidRPr="00517DDC" w:rsidRDefault="00EA0CE7" w:rsidP="00517DDC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sectPr w:rsidR="00AB515B" w:rsidRPr="00517DD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B5" w:rsidRDefault="00D106B5" w:rsidP="009276B2">
      <w:pPr>
        <w:spacing w:after="0" w:line="240" w:lineRule="auto"/>
      </w:pPr>
      <w:r>
        <w:separator/>
      </w:r>
    </w:p>
  </w:endnote>
  <w:endnote w:type="continuationSeparator" w:id="0">
    <w:p w:rsidR="00D106B5" w:rsidRDefault="00D106B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79749F" w:rsidRPr="00AF44C3" w:rsidRDefault="0079749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F5E0A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F5E0A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Pr="007258AD" w:rsidRDefault="0079749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79749F" w:rsidRPr="006B0A23" w:rsidRDefault="0079749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B5" w:rsidRDefault="00D106B5" w:rsidP="009276B2">
      <w:pPr>
        <w:spacing w:after="0" w:line="240" w:lineRule="auto"/>
      </w:pPr>
      <w:r>
        <w:separator/>
      </w:r>
    </w:p>
  </w:footnote>
  <w:footnote w:type="continuationSeparator" w:id="0">
    <w:p w:rsidR="00D106B5" w:rsidRDefault="00D106B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Default="0079749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Default="0079749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74729"/>
    <w:multiLevelType w:val="hybridMultilevel"/>
    <w:tmpl w:val="AF362976"/>
    <w:lvl w:ilvl="0" w:tplc="06EA7A2E">
      <w:numFmt w:val="bullet"/>
      <w:lvlText w:val="•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24F1A"/>
    <w:multiLevelType w:val="hybridMultilevel"/>
    <w:tmpl w:val="9FB8F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23A6F"/>
    <w:multiLevelType w:val="hybridMultilevel"/>
    <w:tmpl w:val="06041836"/>
    <w:lvl w:ilvl="0" w:tplc="06EA7A2E">
      <w:numFmt w:val="bullet"/>
      <w:lvlText w:val="•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04FE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1236B0"/>
    <w:rsid w:val="00143A1B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17DD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49F"/>
    <w:rsid w:val="00797577"/>
    <w:rsid w:val="007F7BDA"/>
    <w:rsid w:val="0080757B"/>
    <w:rsid w:val="00831F8A"/>
    <w:rsid w:val="008704C5"/>
    <w:rsid w:val="008B10E0"/>
    <w:rsid w:val="008D3EC2"/>
    <w:rsid w:val="00900022"/>
    <w:rsid w:val="0090109C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006C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294D"/>
    <w:rsid w:val="00C96A2E"/>
    <w:rsid w:val="00CB167D"/>
    <w:rsid w:val="00CB2A54"/>
    <w:rsid w:val="00CE68EC"/>
    <w:rsid w:val="00CF21C3"/>
    <w:rsid w:val="00CF5E0A"/>
    <w:rsid w:val="00D106B5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2113-5B2F-4435-9D4F-9847785A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8</cp:revision>
  <cp:lastPrinted>2022-09-08T13:34:00Z</cp:lastPrinted>
  <dcterms:created xsi:type="dcterms:W3CDTF">2024-05-07T08:48:00Z</dcterms:created>
  <dcterms:modified xsi:type="dcterms:W3CDTF">2024-05-07T12:25:00Z</dcterms:modified>
</cp:coreProperties>
</file>